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2D2AEA51" w:rsidR="002E524D" w:rsidRDefault="001E4FFF" w:rsidP="002E524D">
      <w:pPr>
        <w:pStyle w:val="Title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2B35ECCC">
            <wp:simplePos x="0" y="0"/>
            <wp:positionH relativeFrom="column">
              <wp:posOffset>-114300</wp:posOffset>
            </wp:positionH>
            <wp:positionV relativeFrom="paragraph">
              <wp:posOffset>219075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5BB34" w14:textId="57352720" w:rsidR="002E524D" w:rsidRDefault="002E524D" w:rsidP="002E524D">
      <w:pPr>
        <w:pStyle w:val="Title"/>
        <w:jc w:val="center"/>
        <w:rPr>
          <w:lang w:val="en-GB"/>
        </w:rPr>
      </w:pPr>
    </w:p>
    <w:p w14:paraId="1114C870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7E634980" w14:textId="77777777" w:rsidR="001E4FFF" w:rsidRDefault="001E4FFF" w:rsidP="002E524D">
      <w:pPr>
        <w:pStyle w:val="Title"/>
        <w:jc w:val="center"/>
        <w:rPr>
          <w:lang w:val="en-GB"/>
        </w:rPr>
      </w:pPr>
    </w:p>
    <w:p w14:paraId="621BFE2B" w14:textId="77777777" w:rsidR="00E957AC" w:rsidRDefault="00E957AC" w:rsidP="00E957AC">
      <w:pPr>
        <w:pStyle w:val="Title"/>
        <w:jc w:val="center"/>
        <w:rPr>
          <w:lang w:val="en-GB"/>
        </w:rPr>
      </w:pPr>
    </w:p>
    <w:p w14:paraId="068BED6D" w14:textId="77777777" w:rsidR="00E957AC" w:rsidRDefault="00E957AC" w:rsidP="00E957AC">
      <w:pPr>
        <w:pStyle w:val="Title"/>
        <w:jc w:val="center"/>
        <w:rPr>
          <w:lang w:val="en-GB"/>
        </w:rPr>
      </w:pPr>
    </w:p>
    <w:p w14:paraId="065B2083" w14:textId="77777777" w:rsidR="00E957AC" w:rsidRDefault="00E957AC" w:rsidP="00E957AC">
      <w:pPr>
        <w:pStyle w:val="Title"/>
        <w:jc w:val="center"/>
        <w:rPr>
          <w:lang w:val="en-GB"/>
        </w:rPr>
      </w:pPr>
    </w:p>
    <w:p w14:paraId="67B2122C" w14:textId="77777777" w:rsidR="00E957AC" w:rsidRDefault="00E957AC" w:rsidP="00E957AC">
      <w:pPr>
        <w:pStyle w:val="Title"/>
        <w:jc w:val="center"/>
        <w:rPr>
          <w:lang w:val="en-GB"/>
        </w:rPr>
      </w:pPr>
    </w:p>
    <w:p w14:paraId="26C300CE" w14:textId="77777777" w:rsidR="00E957AC" w:rsidRDefault="00E957AC" w:rsidP="00E957AC">
      <w:pPr>
        <w:pStyle w:val="Title"/>
        <w:jc w:val="center"/>
        <w:rPr>
          <w:lang w:val="en-GB"/>
        </w:rPr>
      </w:pPr>
    </w:p>
    <w:p w14:paraId="5B5CEE93" w14:textId="77777777" w:rsidR="00E957AC" w:rsidRDefault="00E957AC" w:rsidP="00E957AC">
      <w:pPr>
        <w:pStyle w:val="Title"/>
        <w:jc w:val="center"/>
        <w:rPr>
          <w:lang w:val="en-GB"/>
        </w:rPr>
      </w:pPr>
    </w:p>
    <w:p w14:paraId="0DA6B945" w14:textId="77777777" w:rsidR="00E957AC" w:rsidRDefault="00871F27" w:rsidP="00E957AC">
      <w:pPr>
        <w:pStyle w:val="Title"/>
        <w:jc w:val="center"/>
        <w:rPr>
          <w:lang w:val="en-GB"/>
        </w:rPr>
      </w:pPr>
      <w:r>
        <w:rPr>
          <w:lang w:val="en-GB"/>
        </w:rPr>
        <w:t xml:space="preserve">Silk &amp; Leather </w:t>
      </w:r>
    </w:p>
    <w:p w14:paraId="6F944C2E" w14:textId="1739560C" w:rsidR="00A26E22" w:rsidRDefault="00E957AC" w:rsidP="00E957AC">
      <w:pPr>
        <w:pStyle w:val="Title"/>
        <w:jc w:val="center"/>
        <w:rPr>
          <w:lang w:val="en-GB"/>
        </w:rPr>
      </w:pPr>
      <w:r>
        <w:rPr>
          <w:lang w:val="en-GB"/>
        </w:rPr>
        <w:t>Health and Wellness Policy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DFC4FE6" w14:textId="7C016E38" w:rsidR="00AA2AA4" w:rsidRDefault="00AA2AA4" w:rsidP="00AA2AA4">
      <w:pPr>
        <w:pStyle w:val="Heading1"/>
        <w:numPr>
          <w:ilvl w:val="0"/>
          <w:numId w:val="28"/>
        </w:numPr>
        <w:ind w:left="567" w:hanging="567"/>
      </w:pPr>
      <w:r>
        <w:lastRenderedPageBreak/>
        <w:t>Purpose</w:t>
      </w:r>
    </w:p>
    <w:p w14:paraId="20D39386" w14:textId="6C563443" w:rsidR="00E957AC" w:rsidRPr="00341F43" w:rsidRDefault="00E957AC" w:rsidP="00E957AC">
      <w:pPr>
        <w:rPr>
          <w:b/>
          <w:bCs/>
        </w:rPr>
      </w:pPr>
      <w:r w:rsidRPr="00341F43">
        <w:t>The policy acknowledges the importance of providing a workplace that addresses the health and wellbeing of its employees</w:t>
      </w:r>
      <w:r>
        <w:t xml:space="preserve">. The policy and </w:t>
      </w:r>
      <w:r w:rsidRPr="00341F43">
        <w:t xml:space="preserve">ensuing activities represent </w:t>
      </w:r>
      <w:r>
        <w:t>Silk &amp; Leather’s</w:t>
      </w:r>
      <w:r w:rsidRPr="00341F43">
        <w:t xml:space="preserve"> commitment to a healthy and effective workforce.</w:t>
      </w:r>
      <w:r>
        <w:t xml:space="preserve"> Silk &amp; Leather</w:t>
      </w:r>
      <w:r w:rsidRPr="006109BF">
        <w:t xml:space="preserve"> </w:t>
      </w:r>
      <w:r w:rsidRPr="00341F43">
        <w:t xml:space="preserve">recognises that addressing </w:t>
      </w:r>
      <w:r w:rsidR="00AA2AA4">
        <w:t>h</w:t>
      </w:r>
      <w:r w:rsidRPr="00341F43">
        <w:t xml:space="preserve">ealth and </w:t>
      </w:r>
      <w:r w:rsidR="00AA2AA4">
        <w:t>w</w:t>
      </w:r>
      <w:r w:rsidRPr="00341F43">
        <w:t>ellbeing can lead to healthier and happier employees</w:t>
      </w:r>
      <w:r w:rsidR="00E94082">
        <w:t>,</w:t>
      </w:r>
      <w:r w:rsidRPr="00341F43">
        <w:t xml:space="preserve"> and that safeguarding employee health and wellbeing is an important part of our organisational culture and identity. </w:t>
      </w:r>
      <w:r>
        <w:t xml:space="preserve">The aim of this policy is also to assist and improve compliance with the general regulatory framework </w:t>
      </w:r>
      <w:r w:rsidRPr="00845CD8">
        <w:rPr>
          <w:i/>
        </w:rPr>
        <w:t>(see section 8)</w:t>
      </w:r>
      <w:r>
        <w:t>, as a physically and physiologically healthy workforce will lead to a reduced risk of compliance breaches.</w:t>
      </w:r>
    </w:p>
    <w:p w14:paraId="6FCF3AFE" w14:textId="091D80FA" w:rsidR="00E957AC" w:rsidRPr="00CE2D0B" w:rsidRDefault="00E957AC" w:rsidP="00AA2AA4">
      <w:pPr>
        <w:pStyle w:val="Heading1"/>
        <w:numPr>
          <w:ilvl w:val="0"/>
          <w:numId w:val="28"/>
        </w:numPr>
        <w:ind w:left="567" w:hanging="567"/>
      </w:pPr>
      <w:bookmarkStart w:id="0" w:name="_Toc455685990"/>
      <w:r>
        <w:t>SCOPE</w:t>
      </w:r>
      <w:bookmarkEnd w:id="0"/>
    </w:p>
    <w:p w14:paraId="7C170EC4" w14:textId="77777777" w:rsidR="00E957AC" w:rsidRPr="003F4842" w:rsidRDefault="00E957AC" w:rsidP="00E957AC">
      <w:pPr>
        <w:rPr>
          <w:b/>
        </w:rPr>
      </w:pPr>
      <w:r w:rsidRPr="003F4842">
        <w:t>This policy:</w:t>
      </w:r>
    </w:p>
    <w:p w14:paraId="1B9E7602" w14:textId="77777777" w:rsidR="00E957AC" w:rsidRPr="00341F43" w:rsidRDefault="00E957AC" w:rsidP="00E957AC">
      <w:pPr>
        <w:pStyle w:val="Bullets1"/>
        <w:rPr>
          <w:b/>
        </w:rPr>
      </w:pPr>
      <w:r w:rsidRPr="00341F43">
        <w:t xml:space="preserve">Applies to all employees at </w:t>
      </w:r>
      <w:r w:rsidRPr="00BC7849">
        <w:rPr>
          <w:color w:val="323E4F" w:themeColor="text2" w:themeShade="BF"/>
        </w:rPr>
        <w:t>Silk &amp; Leather</w:t>
      </w:r>
    </w:p>
    <w:p w14:paraId="2921E77F" w14:textId="7AED707F" w:rsidR="00E957AC" w:rsidRPr="00341F43" w:rsidRDefault="00E957AC" w:rsidP="00E957AC">
      <w:pPr>
        <w:pStyle w:val="Bullets1"/>
        <w:rPr>
          <w:b/>
        </w:rPr>
      </w:pPr>
      <w:r w:rsidRPr="00341F43">
        <w:t>Will endeavour to provide equal participation opportunities for all employees, including shift and part</w:t>
      </w:r>
      <w:r>
        <w:t>-</w:t>
      </w:r>
      <w:r w:rsidRPr="00341F43">
        <w:t>time employees</w:t>
      </w:r>
    </w:p>
    <w:p w14:paraId="14BAB287" w14:textId="5E5F989F" w:rsidR="00E957AC" w:rsidRPr="00E94082" w:rsidRDefault="00E957AC" w:rsidP="00E94082">
      <w:pPr>
        <w:pStyle w:val="Bullets1"/>
      </w:pPr>
      <w:r w:rsidRPr="00E94082">
        <w:t>Includes all contract staff and volunteers at the head office in Toowoomba, the Mount Gravatt store, Ipswich store</w:t>
      </w:r>
      <w:r w:rsidR="00E94082">
        <w:t>,</w:t>
      </w:r>
      <w:r w:rsidRPr="00E94082">
        <w:t xml:space="preserve"> and Toowoomba store</w:t>
      </w:r>
    </w:p>
    <w:p w14:paraId="595FB225" w14:textId="77777777" w:rsidR="00E957AC" w:rsidRPr="00341F43" w:rsidRDefault="00E957AC" w:rsidP="00E957AC">
      <w:pPr>
        <w:pStyle w:val="BulletPoints"/>
        <w:numPr>
          <w:ilvl w:val="0"/>
          <w:numId w:val="0"/>
        </w:numPr>
        <w:ind w:left="360"/>
        <w:rPr>
          <w:b/>
        </w:rPr>
      </w:pPr>
    </w:p>
    <w:p w14:paraId="47420BC2" w14:textId="77777777" w:rsidR="00E957AC" w:rsidRPr="002F1681" w:rsidRDefault="00E957AC" w:rsidP="00CC0271">
      <w:pPr>
        <w:rPr>
          <w:b/>
        </w:rPr>
      </w:pPr>
      <w:r w:rsidRPr="002F1681">
        <w:t>There are some areas where this policy directive does not apply:</w:t>
      </w:r>
    </w:p>
    <w:p w14:paraId="4BC9F4E8" w14:textId="73B870AA" w:rsidR="00E957AC" w:rsidRPr="00CC0271" w:rsidRDefault="00E957AC" w:rsidP="00CC0271">
      <w:pPr>
        <w:pStyle w:val="ListParagraph"/>
        <w:numPr>
          <w:ilvl w:val="0"/>
          <w:numId w:val="24"/>
        </w:numPr>
        <w:rPr>
          <w:sz w:val="22"/>
          <w:szCs w:val="24"/>
        </w:rPr>
      </w:pPr>
      <w:r w:rsidRPr="00CC0271">
        <w:rPr>
          <w:sz w:val="22"/>
          <w:szCs w:val="24"/>
        </w:rPr>
        <w:t>Food bought from home</w:t>
      </w:r>
    </w:p>
    <w:p w14:paraId="1DC5438C" w14:textId="77777777" w:rsidR="00E957AC" w:rsidRPr="00CC0271" w:rsidRDefault="00E957AC" w:rsidP="00CC0271">
      <w:pPr>
        <w:pStyle w:val="ListParagraph"/>
        <w:numPr>
          <w:ilvl w:val="0"/>
          <w:numId w:val="24"/>
        </w:numPr>
        <w:rPr>
          <w:sz w:val="22"/>
          <w:szCs w:val="24"/>
        </w:rPr>
      </w:pPr>
      <w:r w:rsidRPr="00CC0271">
        <w:rPr>
          <w:sz w:val="22"/>
          <w:szCs w:val="24"/>
        </w:rPr>
        <w:t>Food choices made by individuals</w:t>
      </w:r>
    </w:p>
    <w:p w14:paraId="33BD0E7A" w14:textId="77777777" w:rsidR="00E957AC" w:rsidRPr="00CC0271" w:rsidRDefault="00E957AC" w:rsidP="00CC0271">
      <w:pPr>
        <w:pStyle w:val="ListParagraph"/>
        <w:numPr>
          <w:ilvl w:val="0"/>
          <w:numId w:val="24"/>
        </w:numPr>
        <w:rPr>
          <w:sz w:val="22"/>
          <w:szCs w:val="24"/>
        </w:rPr>
      </w:pPr>
      <w:r w:rsidRPr="00CC0271">
        <w:rPr>
          <w:sz w:val="22"/>
          <w:szCs w:val="24"/>
        </w:rPr>
        <w:t>The policy will not contravene work health and safety requirements</w:t>
      </w:r>
    </w:p>
    <w:p w14:paraId="2BE6740D" w14:textId="77777777" w:rsidR="00B712EC" w:rsidRDefault="00B712EC" w:rsidP="00B712EC">
      <w:bookmarkStart w:id="1" w:name="_Toc455685991"/>
    </w:p>
    <w:p w14:paraId="76E13622" w14:textId="025C4085" w:rsidR="00E957AC" w:rsidRPr="00B712EC" w:rsidRDefault="00B712EC" w:rsidP="00AA2AA4">
      <w:pPr>
        <w:pStyle w:val="Heading1"/>
        <w:numPr>
          <w:ilvl w:val="0"/>
          <w:numId w:val="28"/>
        </w:numPr>
        <w:ind w:left="567" w:hanging="567"/>
      </w:pPr>
      <w:r w:rsidRPr="00B712EC">
        <w:t>P</w:t>
      </w:r>
      <w:r w:rsidR="00E957AC" w:rsidRPr="00B712EC">
        <w:t xml:space="preserve">OLICY PRINCIPALS </w:t>
      </w:r>
      <w:bookmarkEnd w:id="1"/>
    </w:p>
    <w:p w14:paraId="38E6B20F" w14:textId="6764086F" w:rsidR="00E957AC" w:rsidRPr="003F4842" w:rsidRDefault="00E957AC" w:rsidP="00CC0271">
      <w:pPr>
        <w:rPr>
          <w:b/>
          <w:bCs/>
          <w:color w:val="FF0000"/>
        </w:rPr>
      </w:pPr>
      <w:r w:rsidRPr="00341F43">
        <w:t xml:space="preserve">When applying this policy, </w:t>
      </w:r>
      <w:r w:rsidRPr="00E94082">
        <w:t xml:space="preserve">Silk </w:t>
      </w:r>
      <w:r w:rsidR="00E94082">
        <w:t>&amp;</w:t>
      </w:r>
      <w:r w:rsidRPr="00E94082">
        <w:t xml:space="preserve"> Leather </w:t>
      </w:r>
      <w:r w:rsidRPr="00341F43">
        <w:t xml:space="preserve">will follow the following principles: </w:t>
      </w:r>
    </w:p>
    <w:p w14:paraId="0549BF19" w14:textId="77777777" w:rsidR="00E957AC" w:rsidRPr="00AC753F" w:rsidRDefault="00E957AC" w:rsidP="00CC0271">
      <w:pPr>
        <w:pStyle w:val="Bullets1"/>
        <w:rPr>
          <w:b/>
        </w:rPr>
      </w:pPr>
      <w:r w:rsidRPr="00AC753F">
        <w:t>Recognise that health is more than just the absence of illness and injury</w:t>
      </w:r>
    </w:p>
    <w:p w14:paraId="7934C6CB" w14:textId="5AB185CF" w:rsidR="00E957AC" w:rsidRPr="00AC753F" w:rsidRDefault="00671495" w:rsidP="00CC0271">
      <w:pPr>
        <w:pStyle w:val="Bullets1"/>
        <w:rPr>
          <w:b/>
        </w:rPr>
      </w:pPr>
      <w:r>
        <w:t>Recognise that s</w:t>
      </w:r>
      <w:r w:rsidR="00E957AC" w:rsidRPr="00AC753F">
        <w:t>upportive and engaging work has benefits for individuals, families</w:t>
      </w:r>
      <w:r>
        <w:t>,</w:t>
      </w:r>
      <w:r w:rsidR="00E957AC" w:rsidRPr="00AC753F">
        <w:t xml:space="preserve"> and wider society</w:t>
      </w:r>
      <w:r>
        <w:t xml:space="preserve"> </w:t>
      </w:r>
      <w:r w:rsidR="00E957AC" w:rsidRPr="00AC753F">
        <w:t>beyond chronic disease risk reduction</w:t>
      </w:r>
    </w:p>
    <w:p w14:paraId="78BB5A18" w14:textId="193D8F6A" w:rsidR="00E957AC" w:rsidRPr="00AC753F" w:rsidRDefault="00E957AC" w:rsidP="00CC0271">
      <w:pPr>
        <w:pStyle w:val="Bullets1"/>
        <w:rPr>
          <w:b/>
        </w:rPr>
      </w:pPr>
      <w:r w:rsidRPr="00AC753F">
        <w:t>Recognise that workplace culture and environment contribute significantly to individuals</w:t>
      </w:r>
      <w:r w:rsidR="00176931">
        <w:t>’</w:t>
      </w:r>
      <w:r w:rsidRPr="00AC753F">
        <w:t xml:space="preserve"> abilit</w:t>
      </w:r>
      <w:r w:rsidR="00671495">
        <w:t>ies</w:t>
      </w:r>
      <w:r w:rsidRPr="00AC753F">
        <w:t xml:space="preserve"> to make healthy lifestyle choices, including emotional wellbeing</w:t>
      </w:r>
    </w:p>
    <w:p w14:paraId="467C50C4" w14:textId="4AC7D8FC" w:rsidR="00E957AC" w:rsidRPr="00AC753F" w:rsidRDefault="00E957AC" w:rsidP="00CC0271">
      <w:pPr>
        <w:pStyle w:val="Bullets1"/>
        <w:rPr>
          <w:b/>
        </w:rPr>
      </w:pPr>
      <w:r w:rsidRPr="00AC753F">
        <w:lastRenderedPageBreak/>
        <w:t>Leadership is committed to providing all employees with a safe, healthy</w:t>
      </w:r>
      <w:r w:rsidR="00A3677F">
        <w:t>,</w:t>
      </w:r>
      <w:r w:rsidRPr="00AC753F">
        <w:t xml:space="preserve"> and supportive environment in which to work</w:t>
      </w:r>
    </w:p>
    <w:p w14:paraId="2A334765" w14:textId="0FFBD284" w:rsidR="00E957AC" w:rsidRPr="00AC753F" w:rsidRDefault="00E957AC" w:rsidP="00CC0271">
      <w:pPr>
        <w:pStyle w:val="Bullets1"/>
        <w:rPr>
          <w:b/>
        </w:rPr>
      </w:pPr>
      <w:r w:rsidRPr="00AC753F">
        <w:t xml:space="preserve">Leadership </w:t>
      </w:r>
      <w:r w:rsidR="00A3677F">
        <w:t>is</w:t>
      </w:r>
      <w:r w:rsidRPr="00AC753F">
        <w:t xml:space="preserve"> well positioned and will act as advocates and role models of workplace health and wellbeing</w:t>
      </w:r>
    </w:p>
    <w:p w14:paraId="0C46BF84" w14:textId="77777777" w:rsidR="00E957AC" w:rsidRPr="00AC753F" w:rsidRDefault="00E957AC" w:rsidP="00CC0271">
      <w:pPr>
        <w:pStyle w:val="Bullets1"/>
        <w:rPr>
          <w:b/>
        </w:rPr>
      </w:pPr>
      <w:r w:rsidRPr="00AC753F">
        <w:t>Commit to providing a supportive workplace culture where healthy lifestyle choices are valued and encouraged</w:t>
      </w:r>
    </w:p>
    <w:p w14:paraId="112DEBEB" w14:textId="77777777" w:rsidR="00E957AC" w:rsidRPr="00AC753F" w:rsidRDefault="00E957AC" w:rsidP="00CC0271">
      <w:pPr>
        <w:pStyle w:val="Bullets1"/>
        <w:rPr>
          <w:b/>
        </w:rPr>
      </w:pPr>
      <w:r w:rsidRPr="00AC753F">
        <w:t>Recognise the voluntary nature of participation within health and wellbeing related activities</w:t>
      </w:r>
    </w:p>
    <w:p w14:paraId="29C05C5B" w14:textId="77777777" w:rsidR="00E957AC" w:rsidRDefault="00E957AC" w:rsidP="00AA2AA4">
      <w:pPr>
        <w:pStyle w:val="Heading1"/>
        <w:numPr>
          <w:ilvl w:val="0"/>
          <w:numId w:val="28"/>
        </w:numPr>
        <w:ind w:left="567" w:hanging="567"/>
      </w:pPr>
      <w:bookmarkStart w:id="2" w:name="_Toc455685993"/>
      <w:r>
        <w:t>POLICY OBJECTIVES</w:t>
      </w:r>
    </w:p>
    <w:p w14:paraId="53A3DB8F" w14:textId="2CD74ADF" w:rsidR="00E957AC" w:rsidRPr="00341F43" w:rsidRDefault="00E957AC" w:rsidP="00176931">
      <w:pPr>
        <w:rPr>
          <w:b/>
          <w:bCs/>
        </w:rPr>
      </w:pPr>
      <w:r w:rsidRPr="00341F43">
        <w:t>The following objectives have been established to contribute to the health and wellbeing of employees</w:t>
      </w:r>
      <w:r w:rsidR="00533D03">
        <w:t>:</w:t>
      </w:r>
    </w:p>
    <w:p w14:paraId="065CF4AB" w14:textId="362CC0EA" w:rsidR="00E957AC" w:rsidRDefault="00B921C0" w:rsidP="00176931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7E461D14" w14:textId="77777777" w:rsidR="00B921C0" w:rsidRDefault="00B921C0" w:rsidP="00B921C0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62D69461" w14:textId="77777777" w:rsidR="00B921C0" w:rsidRDefault="00B921C0" w:rsidP="00B921C0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5D0740DA" w14:textId="77777777" w:rsidR="00B921C0" w:rsidRDefault="00B921C0" w:rsidP="00B921C0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7A4FCF72" w14:textId="77777777" w:rsidR="00B921C0" w:rsidRDefault="00B921C0" w:rsidP="00B921C0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6DF19723" w14:textId="77777777" w:rsidR="00B921C0" w:rsidRPr="007B2A87" w:rsidRDefault="00B921C0" w:rsidP="00B921C0">
      <w:pPr>
        <w:pStyle w:val="Bullets1"/>
        <w:numPr>
          <w:ilvl w:val="0"/>
          <w:numId w:val="0"/>
        </w:numPr>
        <w:ind w:left="720" w:hanging="360"/>
        <w:rPr>
          <w:color w:val="FF0000"/>
        </w:rPr>
      </w:pPr>
    </w:p>
    <w:p w14:paraId="3722EB16" w14:textId="77777777" w:rsidR="00E957AC" w:rsidRDefault="00E957AC" w:rsidP="00AA2AA4">
      <w:pPr>
        <w:pStyle w:val="Heading1"/>
        <w:numPr>
          <w:ilvl w:val="0"/>
          <w:numId w:val="28"/>
        </w:numPr>
        <w:ind w:left="567" w:hanging="567"/>
      </w:pPr>
      <w:r>
        <w:t>RESPONSIBILITIES</w:t>
      </w:r>
      <w:bookmarkEnd w:id="2"/>
    </w:p>
    <w:p w14:paraId="51A16FDA" w14:textId="77777777" w:rsidR="00E957AC" w:rsidRPr="00AC753F" w:rsidRDefault="00E957AC" w:rsidP="00176931">
      <w:pPr>
        <w:rPr>
          <w:b/>
        </w:rPr>
      </w:pPr>
      <w:r w:rsidRPr="00341F43">
        <w:t xml:space="preserve">Employees </w:t>
      </w:r>
      <w:r>
        <w:t>have a responsibility to</w:t>
      </w:r>
      <w:r w:rsidRPr="00AC753F">
        <w:t>:</w:t>
      </w:r>
    </w:p>
    <w:p w14:paraId="6E6BCF9E" w14:textId="77777777" w:rsidR="007604C8" w:rsidRDefault="007604C8" w:rsidP="007604C8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3908CCF8" w14:textId="77777777" w:rsidR="007604C8" w:rsidRDefault="007604C8" w:rsidP="007604C8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7A3282FC" w14:textId="77777777" w:rsidR="00E957AC" w:rsidRPr="00341F43" w:rsidRDefault="00E957AC" w:rsidP="00176931">
      <w:pPr>
        <w:pStyle w:val="Bullets1"/>
        <w:rPr>
          <w:b/>
        </w:rPr>
      </w:pPr>
      <w:r w:rsidRPr="00341F43">
        <w:t>Support fellow employees in their awareness of this policy and ensuing activities</w:t>
      </w:r>
    </w:p>
    <w:p w14:paraId="7ED7E445" w14:textId="45888FEB" w:rsidR="00E957AC" w:rsidRPr="00AD1EC2" w:rsidRDefault="00E957AC" w:rsidP="00176931">
      <w:pPr>
        <w:pStyle w:val="Bullets1"/>
        <w:rPr>
          <w:b/>
          <w:color w:val="323E4F" w:themeColor="text2" w:themeShade="BF"/>
        </w:rPr>
      </w:pPr>
      <w:r w:rsidRPr="00341F43">
        <w:t xml:space="preserve">Support and </w:t>
      </w:r>
      <w:r w:rsidRPr="00B9238B">
        <w:t xml:space="preserve">contribute to Silk &amp; Leather’s aim </w:t>
      </w:r>
      <w:r w:rsidRPr="00341F43">
        <w:t>of providing a safe, healthy</w:t>
      </w:r>
      <w:r w:rsidR="00B9238B">
        <w:t>,</w:t>
      </w:r>
      <w:r w:rsidRPr="00341F43">
        <w:t xml:space="preserve"> and supportive environment for all employees</w:t>
      </w:r>
    </w:p>
    <w:p w14:paraId="3B5D2C78" w14:textId="63F6A70B" w:rsidR="00E957AC" w:rsidRPr="00341F43" w:rsidRDefault="00E957AC" w:rsidP="00176931">
      <w:pPr>
        <w:pStyle w:val="Bullets1"/>
        <w:rPr>
          <w:b/>
        </w:rPr>
      </w:pPr>
      <w:r w:rsidRPr="00341F43">
        <w:t>Seek opportunit</w:t>
      </w:r>
      <w:r>
        <w:t>ies</w:t>
      </w:r>
      <w:r w:rsidRPr="00341F43">
        <w:t xml:space="preserve"> for involvement and advancem</w:t>
      </w:r>
      <w:r>
        <w:t xml:space="preserve">ent of ideas and planning where </w:t>
      </w:r>
      <w:r w:rsidRPr="00341F43">
        <w:t>able and willing</w:t>
      </w:r>
    </w:p>
    <w:p w14:paraId="007FC5C0" w14:textId="77777777" w:rsidR="00E957AC" w:rsidRDefault="00E957AC" w:rsidP="00E957AC">
      <w:pPr>
        <w:rPr>
          <w:b/>
        </w:rPr>
      </w:pPr>
    </w:p>
    <w:p w14:paraId="40D1F52C" w14:textId="77777777" w:rsidR="00E957AC" w:rsidRPr="003F4842" w:rsidRDefault="00E957AC" w:rsidP="00E957AC">
      <w:pPr>
        <w:rPr>
          <w:b/>
        </w:rPr>
      </w:pPr>
      <w:r w:rsidRPr="003F4842">
        <w:t>Managers have a responsibility to:</w:t>
      </w:r>
    </w:p>
    <w:p w14:paraId="51B76915" w14:textId="77777777" w:rsidR="00E957AC" w:rsidRPr="00341F43" w:rsidRDefault="00E957AC" w:rsidP="00176931">
      <w:pPr>
        <w:pStyle w:val="Bullets1"/>
        <w:rPr>
          <w:b/>
        </w:rPr>
      </w:pPr>
      <w:r w:rsidRPr="00341F43">
        <w:t>Ensure that all employees are made aware of this policy</w:t>
      </w:r>
    </w:p>
    <w:p w14:paraId="6CA07AA4" w14:textId="77777777" w:rsidR="00B9238B" w:rsidRPr="00B9238B" w:rsidRDefault="00E957AC" w:rsidP="00B9238B">
      <w:pPr>
        <w:pStyle w:val="Bullets1"/>
        <w:rPr>
          <w:b/>
        </w:rPr>
      </w:pPr>
      <w:r w:rsidRPr="00341F43">
        <w:t>Actively support and contribute to the implementation of this policy, including the principles, objectives</w:t>
      </w:r>
      <w:r w:rsidR="00B9238B">
        <w:t>,</w:t>
      </w:r>
      <w:r w:rsidRPr="00341F43">
        <w:t xml:space="preserve"> and procedures</w:t>
      </w:r>
    </w:p>
    <w:p w14:paraId="3B0681F8" w14:textId="343EE9EA" w:rsidR="00E957AC" w:rsidRPr="00B9238B" w:rsidRDefault="00E957AC" w:rsidP="00B9238B">
      <w:pPr>
        <w:pStyle w:val="Bullets1"/>
        <w:rPr>
          <w:b/>
        </w:rPr>
      </w:pPr>
      <w:r w:rsidRPr="00341F43">
        <w:lastRenderedPageBreak/>
        <w:t>Manage the implementation and review of this policy</w:t>
      </w:r>
    </w:p>
    <w:p w14:paraId="03B4E0A3" w14:textId="77777777" w:rsidR="00E957AC" w:rsidRPr="00F53827" w:rsidRDefault="00E957AC" w:rsidP="00E957AC">
      <w:pPr>
        <w:spacing w:line="276" w:lineRule="auto"/>
        <w:ind w:left="720"/>
        <w:rPr>
          <w:rFonts w:cs="Arial"/>
          <w:sz w:val="16"/>
          <w:szCs w:val="16"/>
        </w:rPr>
      </w:pPr>
    </w:p>
    <w:p w14:paraId="4D1A8303" w14:textId="77777777" w:rsidR="00E957AC" w:rsidRDefault="00E957AC" w:rsidP="00E957AC">
      <w:r w:rsidRPr="00341F43">
        <w:t>The key stakeholders responsible for the implementation of the activities within this policy are:</w:t>
      </w:r>
    </w:p>
    <w:p w14:paraId="5228A445" w14:textId="51298540" w:rsidR="00B9238B" w:rsidRDefault="00E957AC" w:rsidP="00B9238B">
      <w:pPr>
        <w:pStyle w:val="Bullets1"/>
      </w:pPr>
      <w:r>
        <w:t>Store managers of the three stores</w:t>
      </w:r>
    </w:p>
    <w:p w14:paraId="43626253" w14:textId="0D78CB7C" w:rsidR="00B9238B" w:rsidRDefault="00B9238B" w:rsidP="00B9238B">
      <w:pPr>
        <w:pStyle w:val="Bullets1"/>
      </w:pPr>
      <w:r>
        <w:t>O</w:t>
      </w:r>
      <w:r w:rsidR="00E957AC">
        <w:t>perations manager</w:t>
      </w:r>
    </w:p>
    <w:p w14:paraId="0D20F3F8" w14:textId="7C32C953" w:rsidR="00E957AC" w:rsidRPr="005A34BE" w:rsidRDefault="00E957AC" w:rsidP="00B9238B">
      <w:pPr>
        <w:pStyle w:val="Bullets1"/>
      </w:pPr>
      <w:r>
        <w:t>CEO</w:t>
      </w:r>
    </w:p>
    <w:p w14:paraId="443C1775" w14:textId="77777777" w:rsidR="00E957AC" w:rsidRDefault="00E957AC" w:rsidP="00AA2AA4">
      <w:pPr>
        <w:pStyle w:val="Heading1"/>
        <w:numPr>
          <w:ilvl w:val="0"/>
          <w:numId w:val="28"/>
        </w:numPr>
        <w:ind w:left="567" w:hanging="567"/>
      </w:pPr>
      <w:r>
        <w:t>COMMUNICATION</w:t>
      </w:r>
    </w:p>
    <w:p w14:paraId="505CBD58" w14:textId="77777777" w:rsidR="00E957AC" w:rsidRPr="00C66FC4" w:rsidRDefault="00E957AC" w:rsidP="00E957AC">
      <w:pPr>
        <w:rPr>
          <w:b/>
        </w:rPr>
      </w:pPr>
      <w:r w:rsidRPr="00B44A56">
        <w:rPr>
          <w:color w:val="323E4F" w:themeColor="text2" w:themeShade="BF"/>
        </w:rPr>
        <w:t xml:space="preserve">Silk &amp; Leather </w:t>
      </w:r>
      <w:r w:rsidRPr="00C66FC4">
        <w:t>will ensure that:</w:t>
      </w:r>
    </w:p>
    <w:p w14:paraId="10D8AAA5" w14:textId="77777777" w:rsidR="00E957AC" w:rsidRPr="00C66FC4" w:rsidRDefault="00E957AC" w:rsidP="00176931">
      <w:pPr>
        <w:pStyle w:val="Bullets1"/>
        <w:rPr>
          <w:b/>
        </w:rPr>
      </w:pPr>
      <w:r w:rsidRPr="00C66FC4">
        <w:t>All employees receive a copy of this policy during the induction process</w:t>
      </w:r>
    </w:p>
    <w:p w14:paraId="63172EF7" w14:textId="77777777" w:rsidR="00E957AC" w:rsidRPr="00C66FC4" w:rsidRDefault="00E957AC" w:rsidP="00176931">
      <w:pPr>
        <w:pStyle w:val="Bullets1"/>
        <w:rPr>
          <w:b/>
        </w:rPr>
      </w:pPr>
      <w:r w:rsidRPr="00C66FC4">
        <w:t>This policy is easily accessible by all members of the organisation</w:t>
      </w:r>
    </w:p>
    <w:p w14:paraId="0B71AE53" w14:textId="77777777" w:rsidR="00E957AC" w:rsidRPr="00C66FC4" w:rsidRDefault="00E957AC" w:rsidP="00176931">
      <w:pPr>
        <w:pStyle w:val="Bullets1"/>
        <w:rPr>
          <w:b/>
        </w:rPr>
      </w:pPr>
      <w:r w:rsidRPr="00C66FC4">
        <w:t>Employees are informed when a particular activity or change to worksite environment or practice aligns with this policy</w:t>
      </w:r>
    </w:p>
    <w:p w14:paraId="23394B8B" w14:textId="77777777" w:rsidR="00E957AC" w:rsidRPr="002F1681" w:rsidRDefault="00E957AC" w:rsidP="00176931">
      <w:pPr>
        <w:pStyle w:val="Bullets1"/>
        <w:rPr>
          <w:b/>
          <w:szCs w:val="20"/>
        </w:rPr>
      </w:pPr>
      <w:r w:rsidRPr="002F1681">
        <w:rPr>
          <w:szCs w:val="20"/>
        </w:rPr>
        <w:t>Employees are empowered to actively contribute and provide feedback to this policy</w:t>
      </w:r>
    </w:p>
    <w:p w14:paraId="6813DF79" w14:textId="46645839" w:rsidR="00E957AC" w:rsidRPr="00A74E13" w:rsidRDefault="00E957AC" w:rsidP="00176931">
      <w:pPr>
        <w:pStyle w:val="Bullets1"/>
        <w:rPr>
          <w:b/>
          <w:szCs w:val="21"/>
        </w:rPr>
      </w:pPr>
      <w:r w:rsidRPr="002F1681">
        <w:rPr>
          <w:rFonts w:eastAsia="Calibri"/>
        </w:rPr>
        <w:t>Employees are notified of all changes to this policy</w:t>
      </w:r>
    </w:p>
    <w:p w14:paraId="5D7105D6" w14:textId="77777777" w:rsidR="00E957AC" w:rsidRDefault="00E957AC" w:rsidP="00AA2AA4">
      <w:pPr>
        <w:pStyle w:val="Heading1"/>
        <w:numPr>
          <w:ilvl w:val="0"/>
          <w:numId w:val="28"/>
        </w:numPr>
        <w:ind w:left="567" w:hanging="567"/>
      </w:pPr>
      <w:bookmarkStart w:id="3" w:name="_Toc455685994"/>
      <w:r>
        <w:t>COMPLAINCE, MONITORING AND REVIEW</w:t>
      </w:r>
    </w:p>
    <w:p w14:paraId="53F9DDA0" w14:textId="77777777" w:rsidR="00E957AC" w:rsidRDefault="00E957AC" w:rsidP="00E957AC">
      <w:pPr>
        <w:pStyle w:val="Heading2"/>
      </w:pPr>
      <w:r>
        <w:t>Compliance, monitoring and review</w:t>
      </w:r>
      <w:bookmarkEnd w:id="3"/>
    </w:p>
    <w:p w14:paraId="60A229E0" w14:textId="77777777" w:rsidR="003E765F" w:rsidRPr="00B9238B" w:rsidRDefault="00E957AC" w:rsidP="00B9238B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4"/>
        </w:rPr>
      </w:pPr>
      <w:r w:rsidRPr="00B9238B">
        <w:rPr>
          <w:sz w:val="22"/>
          <w:szCs w:val="24"/>
        </w:rPr>
        <w:t>Silk &amp; Leather will review this policy six months after implementation and annually thereafter. This will be carried out by the CEO, Selina Starr</w:t>
      </w:r>
      <w:r w:rsidR="003E765F" w:rsidRPr="00B9238B">
        <w:rPr>
          <w:sz w:val="22"/>
          <w:szCs w:val="24"/>
        </w:rPr>
        <w:t>.</w:t>
      </w:r>
    </w:p>
    <w:p w14:paraId="33B818C5" w14:textId="75DDFF90" w:rsidR="00E957AC" w:rsidRPr="00C66FC4" w:rsidRDefault="00E957AC" w:rsidP="00F56C61">
      <w:pPr>
        <w:rPr>
          <w:b/>
        </w:rPr>
      </w:pPr>
      <w:r>
        <w:rPr>
          <w:color w:val="323E4F" w:themeColor="text2" w:themeShade="BF"/>
        </w:rPr>
        <w:t xml:space="preserve"> </w:t>
      </w:r>
    </w:p>
    <w:p w14:paraId="389B08A5" w14:textId="77777777" w:rsidR="00E957AC" w:rsidRPr="00C66FC4" w:rsidRDefault="00E957AC" w:rsidP="00F56C61">
      <w:pPr>
        <w:rPr>
          <w:b/>
        </w:rPr>
      </w:pPr>
      <w:r w:rsidRPr="00C66FC4">
        <w:t>Effectiveness of the policy will be assessed through:</w:t>
      </w:r>
    </w:p>
    <w:p w14:paraId="2EA77BEF" w14:textId="77777777" w:rsidR="00E957AC" w:rsidRPr="00C66FC4" w:rsidRDefault="00E957AC" w:rsidP="00F56C61">
      <w:pPr>
        <w:pStyle w:val="Bullets1"/>
        <w:rPr>
          <w:b/>
        </w:rPr>
      </w:pPr>
      <w:r w:rsidRPr="00C66FC4">
        <w:t>Feedback from employees</w:t>
      </w:r>
      <w:r>
        <w:t xml:space="preserve"> </w:t>
      </w:r>
      <w:r w:rsidRPr="00C66FC4">
        <w:t>and management</w:t>
      </w:r>
    </w:p>
    <w:p w14:paraId="6A4A3911" w14:textId="74395B62" w:rsidR="00E957AC" w:rsidRPr="00F56C61" w:rsidRDefault="00E957AC" w:rsidP="00F56C61">
      <w:pPr>
        <w:pStyle w:val="Bullets1"/>
        <w:rPr>
          <w:b/>
        </w:rPr>
      </w:pPr>
      <w:r w:rsidRPr="00C66FC4">
        <w:t>Review of the policy by management and committee to determine if all objectives have been met</w:t>
      </w:r>
    </w:p>
    <w:p w14:paraId="5773C087" w14:textId="77777777" w:rsidR="00F56C61" w:rsidRPr="00501CF5" w:rsidRDefault="00F56C61" w:rsidP="00F56C61"/>
    <w:p w14:paraId="3C7C38B0" w14:textId="77777777" w:rsidR="00E957AC" w:rsidRDefault="00E957AC" w:rsidP="00E957AC">
      <w:pPr>
        <w:pStyle w:val="Heading2"/>
      </w:pPr>
      <w:bookmarkStart w:id="4" w:name="_Toc455685995"/>
      <w:r>
        <w:lastRenderedPageBreak/>
        <w:t>Reporting</w:t>
      </w:r>
      <w:bookmarkEnd w:id="4"/>
    </w:p>
    <w:p w14:paraId="049786EA" w14:textId="7EF8B57E" w:rsidR="00E957AC" w:rsidRPr="00B9238B" w:rsidRDefault="00E957AC" w:rsidP="00B9238B">
      <w:pPr>
        <w:pStyle w:val="ListParagraph"/>
        <w:numPr>
          <w:ilvl w:val="0"/>
          <w:numId w:val="29"/>
        </w:numPr>
        <w:spacing w:line="360" w:lineRule="auto"/>
        <w:rPr>
          <w:sz w:val="22"/>
          <w:szCs w:val="24"/>
        </w:rPr>
      </w:pPr>
      <w:r w:rsidRPr="00B9238B">
        <w:rPr>
          <w:sz w:val="22"/>
          <w:szCs w:val="24"/>
        </w:rPr>
        <w:t>Quarterly reports will be provided by the store managers to Selina Starr in the first year</w:t>
      </w:r>
      <w:r w:rsidR="00B9238B">
        <w:rPr>
          <w:sz w:val="22"/>
          <w:szCs w:val="24"/>
        </w:rPr>
        <w:t>,</w:t>
      </w:r>
      <w:r w:rsidRPr="00B9238B">
        <w:rPr>
          <w:sz w:val="22"/>
          <w:szCs w:val="24"/>
        </w:rPr>
        <w:t xml:space="preserve"> followed by half-yearly reports thereafter. Report format will be provided to the store managers.</w:t>
      </w:r>
    </w:p>
    <w:p w14:paraId="441F83B8" w14:textId="77777777" w:rsidR="00E957AC" w:rsidRDefault="00E957AC" w:rsidP="00E957AC">
      <w:pPr>
        <w:pStyle w:val="Heading2"/>
      </w:pPr>
      <w:bookmarkStart w:id="5" w:name="_Toc455685996"/>
      <w:r>
        <w:t>Records management</w:t>
      </w:r>
      <w:bookmarkEnd w:id="5"/>
    </w:p>
    <w:p w14:paraId="080CF2FA" w14:textId="567F29A6" w:rsidR="00E957AC" w:rsidRPr="006109BF" w:rsidRDefault="00E957AC" w:rsidP="00AA2AA4">
      <w:r>
        <w:t xml:space="preserve">All relevant records to the administering of this policy will be maintained on an online folder on “OneDrive” named Health &amp; Wellbeing </w:t>
      </w:r>
      <w:r w:rsidR="00B74C34">
        <w:t>P</w:t>
      </w:r>
      <w:r>
        <w:t xml:space="preserve">olicy. Edit access will only be available to the CEO and operations </w:t>
      </w:r>
      <w:r w:rsidR="00B74C34">
        <w:t>manager</w:t>
      </w:r>
      <w:r>
        <w:t>. The store managers will only be able to input information in this folder.</w:t>
      </w:r>
    </w:p>
    <w:p w14:paraId="73D21F15" w14:textId="77777777" w:rsidR="00E957AC" w:rsidRPr="00CE2D0B" w:rsidRDefault="00E957AC" w:rsidP="00AA2AA4">
      <w:pPr>
        <w:pStyle w:val="Heading1"/>
        <w:numPr>
          <w:ilvl w:val="0"/>
          <w:numId w:val="21"/>
        </w:numPr>
        <w:ind w:left="567" w:hanging="567"/>
      </w:pPr>
      <w:bookmarkStart w:id="6" w:name="_Toc451501025"/>
      <w:bookmarkStart w:id="7" w:name="_Toc455685999"/>
      <w:r w:rsidRPr="00A52D3A">
        <w:t>RELATED LEGISLATION AND DOCUMENTS</w:t>
      </w:r>
      <w:bookmarkEnd w:id="6"/>
      <w:bookmarkEnd w:id="7"/>
    </w:p>
    <w:p w14:paraId="5EFF66A8" w14:textId="676DAD9A" w:rsidR="00E957AC" w:rsidRPr="00B74C34" w:rsidRDefault="00E957AC" w:rsidP="00E957AC">
      <w:r w:rsidRPr="00C66FC4">
        <w:t xml:space="preserve">This policy </w:t>
      </w:r>
      <w:r>
        <w:t xml:space="preserve">is supported by </w:t>
      </w:r>
      <w:r w:rsidRPr="00C66FC4">
        <w:t xml:space="preserve">the following </w:t>
      </w:r>
      <w:r w:rsidRPr="00B74C34">
        <w:t>policies of Silk &amp; Leather</w:t>
      </w:r>
      <w:r w:rsidR="00B74C34" w:rsidRPr="00B74C34">
        <w:t>:</w:t>
      </w:r>
    </w:p>
    <w:p w14:paraId="071228F4" w14:textId="40EC5ED6" w:rsidR="00E957AC" w:rsidRPr="006F0C96" w:rsidRDefault="00E957AC" w:rsidP="003E765F">
      <w:pPr>
        <w:pStyle w:val="Bullets1"/>
        <w:rPr>
          <w:b/>
        </w:rPr>
      </w:pPr>
      <w:r w:rsidRPr="006F0C96">
        <w:t xml:space="preserve">Work Health Safety </w:t>
      </w:r>
      <w:r w:rsidR="00167D62">
        <w:t>P</w:t>
      </w:r>
      <w:r w:rsidRPr="006F0C96">
        <w:t xml:space="preserve">olicies and </w:t>
      </w:r>
      <w:r w:rsidR="00167D62">
        <w:t>P</w:t>
      </w:r>
      <w:r w:rsidRPr="006F0C96">
        <w:t xml:space="preserve">rocedures </w:t>
      </w:r>
    </w:p>
    <w:p w14:paraId="5EB9DE06" w14:textId="54371B45" w:rsidR="00E957AC" w:rsidRPr="006F0C96" w:rsidRDefault="00E957AC" w:rsidP="003E765F">
      <w:pPr>
        <w:pStyle w:val="Bullets1"/>
        <w:rPr>
          <w:b/>
        </w:rPr>
      </w:pPr>
      <w:r w:rsidRPr="006F0C96">
        <w:t xml:space="preserve">Work/Life Balance </w:t>
      </w:r>
      <w:r w:rsidR="00167D62">
        <w:t>P</w:t>
      </w:r>
      <w:r w:rsidRPr="006F0C96">
        <w:t>olicy</w:t>
      </w:r>
    </w:p>
    <w:p w14:paraId="1B876DAA" w14:textId="77777777" w:rsidR="00E957AC" w:rsidRPr="006F0C96" w:rsidRDefault="00E957AC" w:rsidP="003E765F">
      <w:pPr>
        <w:pStyle w:val="Bullets1"/>
        <w:rPr>
          <w:b/>
        </w:rPr>
      </w:pPr>
      <w:r w:rsidRPr="006F0C96">
        <w:t>Flexi-time Arrangement Policy</w:t>
      </w:r>
    </w:p>
    <w:p w14:paraId="3586D24C" w14:textId="64D48449" w:rsidR="00E957AC" w:rsidRPr="006F0C96" w:rsidRDefault="00E957AC" w:rsidP="003E765F">
      <w:pPr>
        <w:pStyle w:val="Bullets1"/>
        <w:rPr>
          <w:b/>
        </w:rPr>
      </w:pPr>
      <w:r w:rsidRPr="006F0C96">
        <w:t xml:space="preserve">Return </w:t>
      </w:r>
      <w:r w:rsidR="00167D62">
        <w:t>t</w:t>
      </w:r>
      <w:r w:rsidR="00167D62" w:rsidRPr="006F0C96">
        <w:t xml:space="preserve">o Work From Injury Policies </w:t>
      </w:r>
      <w:r w:rsidR="00167D62">
        <w:t>o</w:t>
      </w:r>
      <w:r w:rsidR="00167D62" w:rsidRPr="006F0C96">
        <w:t>r Procedures</w:t>
      </w:r>
    </w:p>
    <w:p w14:paraId="103E88A7" w14:textId="77777777" w:rsidR="00E957AC" w:rsidRPr="006F0C96" w:rsidRDefault="00E957AC" w:rsidP="003E765F">
      <w:pPr>
        <w:pStyle w:val="Bullets1"/>
        <w:rPr>
          <w:b/>
        </w:rPr>
      </w:pPr>
      <w:r w:rsidRPr="006F0C96">
        <w:t>Food and Catering Policy</w:t>
      </w:r>
    </w:p>
    <w:p w14:paraId="4A0D1661" w14:textId="77777777" w:rsidR="00E957AC" w:rsidRPr="006F0C96" w:rsidRDefault="00E957AC" w:rsidP="003E765F">
      <w:pPr>
        <w:pStyle w:val="Bullets1"/>
        <w:rPr>
          <w:b/>
        </w:rPr>
      </w:pPr>
      <w:r w:rsidRPr="006F0C96">
        <w:t>Smoke Free Workplace Policy</w:t>
      </w:r>
    </w:p>
    <w:p w14:paraId="73206B6A" w14:textId="77777777" w:rsidR="00E957AC" w:rsidRPr="006F0C96" w:rsidRDefault="00E957AC" w:rsidP="003E765F">
      <w:pPr>
        <w:pStyle w:val="Bullets1"/>
        <w:rPr>
          <w:b/>
        </w:rPr>
      </w:pPr>
      <w:r w:rsidRPr="006F0C96">
        <w:t>Bullying and Conflict Resolution Policy</w:t>
      </w:r>
    </w:p>
    <w:p w14:paraId="3DC5BC17" w14:textId="77777777" w:rsidR="00E957AC" w:rsidRPr="00A52D3A" w:rsidRDefault="00E957AC" w:rsidP="00E957AC">
      <w:pPr>
        <w:rPr>
          <w:color w:val="2E74B5" w:themeColor="accent5" w:themeShade="BF"/>
        </w:rPr>
      </w:pPr>
      <w:r w:rsidRPr="00A52D3A">
        <w:rPr>
          <w:color w:val="2E74B5" w:themeColor="accent5" w:themeShade="BF"/>
        </w:rPr>
        <w:t xml:space="preserve"> </w:t>
      </w:r>
    </w:p>
    <w:p w14:paraId="65CD9E7D" w14:textId="61871DB9" w:rsidR="00E957AC" w:rsidRDefault="00E957AC" w:rsidP="003E765F">
      <w:r>
        <w:t>The following Acts also indirectly underpin and contribute to Silk &amp; Leather</w:t>
      </w:r>
      <w:r w:rsidR="00167D62">
        <w:t>’s</w:t>
      </w:r>
      <w:r>
        <w:t xml:space="preserve"> Health </w:t>
      </w:r>
      <w:r w:rsidR="00167D62">
        <w:t>and</w:t>
      </w:r>
      <w:r>
        <w:t xml:space="preserve"> Wellness policy: </w:t>
      </w:r>
    </w:p>
    <w:p w14:paraId="1C45FCFA" w14:textId="77777777" w:rsidR="00E957AC" w:rsidRDefault="00E957AC" w:rsidP="003E765F">
      <w:pPr>
        <w:pStyle w:val="Bullets1"/>
      </w:pPr>
      <w:r>
        <w:t>Age Discrimination Act 2004</w:t>
      </w:r>
    </w:p>
    <w:p w14:paraId="4406B4F3" w14:textId="77777777" w:rsidR="00E957AC" w:rsidRDefault="00E957AC" w:rsidP="003E765F">
      <w:pPr>
        <w:pStyle w:val="Bullets1"/>
      </w:pPr>
      <w:r>
        <w:t>Disability Discrimination Act 1992</w:t>
      </w:r>
    </w:p>
    <w:p w14:paraId="5058959C" w14:textId="77777777" w:rsidR="00E957AC" w:rsidRDefault="00E957AC" w:rsidP="003E765F">
      <w:pPr>
        <w:pStyle w:val="Bullets1"/>
      </w:pPr>
      <w:r>
        <w:t>Racial Discrimination Act 1975</w:t>
      </w:r>
    </w:p>
    <w:p w14:paraId="697E407F" w14:textId="77777777" w:rsidR="0082317F" w:rsidRDefault="0082317F" w:rsidP="0082317F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2B7D37C8" w14:textId="7DD1BFDB" w:rsidR="0082317F" w:rsidRDefault="0082317F" w:rsidP="0082317F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72BA2A58" w14:textId="16F0291D" w:rsidR="0082317F" w:rsidRPr="0082317F" w:rsidRDefault="0082317F" w:rsidP="0082317F">
      <w:pPr>
        <w:pStyle w:val="Bullets1"/>
        <w:rPr>
          <w:color w:val="FF0000"/>
        </w:rPr>
      </w:pPr>
      <w:r>
        <w:rPr>
          <w:color w:val="FF0000"/>
        </w:rPr>
        <w:t>___________________________________________________</w:t>
      </w:r>
    </w:p>
    <w:p w14:paraId="04AC7631" w14:textId="77777777" w:rsidR="00E957AC" w:rsidRDefault="00E957AC" w:rsidP="00E957AC">
      <w:pPr>
        <w:rPr>
          <w:color w:val="2E74B5" w:themeColor="accent5" w:themeShade="BF"/>
        </w:rPr>
      </w:pPr>
    </w:p>
    <w:p w14:paraId="3F2EC69D" w14:textId="392DA055" w:rsidR="00E957AC" w:rsidRDefault="00E957AC" w:rsidP="00AA2AA4">
      <w:pPr>
        <w:pStyle w:val="Heading1"/>
        <w:numPr>
          <w:ilvl w:val="0"/>
          <w:numId w:val="21"/>
        </w:numPr>
        <w:ind w:left="567" w:hanging="567"/>
      </w:pPr>
      <w:bookmarkStart w:id="8" w:name="_Toc455686001"/>
      <w:r>
        <w:lastRenderedPageBreak/>
        <w:t>APPROVAL AND REVIEW DETAILS</w:t>
      </w:r>
      <w:bookmarkEnd w:id="8"/>
    </w:p>
    <w:p w14:paraId="266C9D78" w14:textId="77777777" w:rsidR="003E765F" w:rsidRPr="003E765F" w:rsidRDefault="003E765F" w:rsidP="003E765F"/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5699"/>
      </w:tblGrid>
      <w:tr w:rsidR="00E957AC" w:rsidRPr="00A52D3A" w14:paraId="712BC49C" w14:textId="77777777" w:rsidTr="003E765F">
        <w:trPr>
          <w:tblHeader/>
        </w:trPr>
        <w:tc>
          <w:tcPr>
            <w:tcW w:w="3232" w:type="dxa"/>
            <w:shd w:val="clear" w:color="auto" w:fill="D9D9D9" w:themeFill="background1" w:themeFillShade="D9"/>
          </w:tcPr>
          <w:p w14:paraId="00865732" w14:textId="77777777" w:rsidR="00E957AC" w:rsidRPr="00A52D3A" w:rsidRDefault="00E957AC" w:rsidP="004A6C34">
            <w:pPr>
              <w:spacing w:after="120"/>
              <w:rPr>
                <w:b/>
              </w:rPr>
            </w:pPr>
            <w:r w:rsidRPr="00A52D3A">
              <w:rPr>
                <w:b/>
              </w:rPr>
              <w:t>Approval and Review</w:t>
            </w:r>
          </w:p>
        </w:tc>
        <w:tc>
          <w:tcPr>
            <w:tcW w:w="5699" w:type="dxa"/>
            <w:shd w:val="clear" w:color="auto" w:fill="D9D9D9" w:themeFill="background1" w:themeFillShade="D9"/>
          </w:tcPr>
          <w:p w14:paraId="3CCBCAB1" w14:textId="77777777" w:rsidR="00E957AC" w:rsidRPr="00A52D3A" w:rsidRDefault="00E957AC" w:rsidP="004A6C34">
            <w:pPr>
              <w:rPr>
                <w:b/>
              </w:rPr>
            </w:pPr>
            <w:r w:rsidRPr="00A52D3A">
              <w:rPr>
                <w:b/>
              </w:rPr>
              <w:t>Details</w:t>
            </w:r>
          </w:p>
        </w:tc>
      </w:tr>
      <w:tr w:rsidR="00E957AC" w:rsidRPr="00811B28" w14:paraId="444BC644" w14:textId="77777777" w:rsidTr="003E765F">
        <w:tc>
          <w:tcPr>
            <w:tcW w:w="3232" w:type="dxa"/>
            <w:shd w:val="clear" w:color="auto" w:fill="FFFFFF" w:themeFill="background1"/>
          </w:tcPr>
          <w:p w14:paraId="372297F2" w14:textId="77777777" w:rsidR="00E957AC" w:rsidRPr="00811B28" w:rsidRDefault="00E957AC" w:rsidP="00C87F4F">
            <w:r>
              <w:t>Version Number</w:t>
            </w:r>
          </w:p>
        </w:tc>
        <w:tc>
          <w:tcPr>
            <w:tcW w:w="5699" w:type="dxa"/>
          </w:tcPr>
          <w:p w14:paraId="452C01BF" w14:textId="77777777" w:rsidR="00E957AC" w:rsidRPr="00811B28" w:rsidRDefault="00E957AC" w:rsidP="004A6C34">
            <w:pPr>
              <w:jc w:val="both"/>
              <w:rPr>
                <w:color w:val="2E74B5" w:themeColor="accent5" w:themeShade="BF"/>
                <w:sz w:val="18"/>
                <w:szCs w:val="18"/>
              </w:rPr>
            </w:pPr>
          </w:p>
        </w:tc>
      </w:tr>
      <w:tr w:rsidR="00E957AC" w:rsidRPr="00811B28" w14:paraId="7654FF8A" w14:textId="77777777" w:rsidTr="003E765F">
        <w:tc>
          <w:tcPr>
            <w:tcW w:w="3232" w:type="dxa"/>
            <w:shd w:val="clear" w:color="auto" w:fill="FFFFFF" w:themeFill="background1"/>
          </w:tcPr>
          <w:p w14:paraId="2A01FC4A" w14:textId="77777777" w:rsidR="00E957AC" w:rsidRDefault="00E957AC" w:rsidP="00C87F4F">
            <w:r>
              <w:t>Approval Date</w:t>
            </w:r>
          </w:p>
        </w:tc>
        <w:tc>
          <w:tcPr>
            <w:tcW w:w="5699" w:type="dxa"/>
          </w:tcPr>
          <w:p w14:paraId="293877B4" w14:textId="77777777" w:rsidR="00E957AC" w:rsidRPr="00811B28" w:rsidRDefault="00E957AC" w:rsidP="004A6C34">
            <w:pPr>
              <w:jc w:val="both"/>
              <w:rPr>
                <w:color w:val="2E74B5" w:themeColor="accent5" w:themeShade="BF"/>
                <w:sz w:val="18"/>
                <w:szCs w:val="18"/>
              </w:rPr>
            </w:pPr>
          </w:p>
        </w:tc>
      </w:tr>
      <w:tr w:rsidR="00E957AC" w:rsidRPr="00811B28" w14:paraId="112DF2C1" w14:textId="77777777" w:rsidTr="003E765F">
        <w:tc>
          <w:tcPr>
            <w:tcW w:w="3232" w:type="dxa"/>
            <w:shd w:val="clear" w:color="auto" w:fill="FFFFFF" w:themeFill="background1"/>
          </w:tcPr>
          <w:p w14:paraId="35DC5874" w14:textId="77777777" w:rsidR="00E957AC" w:rsidRPr="00347D24" w:rsidRDefault="00E957AC" w:rsidP="00C87F4F">
            <w:pPr>
              <w:rPr>
                <w:spacing w:val="-8"/>
              </w:rPr>
            </w:pPr>
            <w:r>
              <w:rPr>
                <w:spacing w:val="-8"/>
              </w:rPr>
              <w:t>Management Approval (CEO / Operations manager)</w:t>
            </w:r>
          </w:p>
        </w:tc>
        <w:tc>
          <w:tcPr>
            <w:tcW w:w="5699" w:type="dxa"/>
          </w:tcPr>
          <w:p w14:paraId="613A35C7" w14:textId="77777777" w:rsidR="00E957AC" w:rsidRPr="00811B28" w:rsidRDefault="00E957AC" w:rsidP="004A6C34">
            <w:pPr>
              <w:rPr>
                <w:color w:val="2E74B5" w:themeColor="accent5" w:themeShade="BF"/>
                <w:sz w:val="18"/>
                <w:szCs w:val="18"/>
              </w:rPr>
            </w:pPr>
          </w:p>
        </w:tc>
      </w:tr>
      <w:tr w:rsidR="00E957AC" w:rsidRPr="00811B28" w14:paraId="0FB6EC7A" w14:textId="77777777" w:rsidTr="003E765F">
        <w:tc>
          <w:tcPr>
            <w:tcW w:w="3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C69953" w14:textId="77777777" w:rsidR="00E957AC" w:rsidRPr="00811B28" w:rsidRDefault="00E957AC" w:rsidP="00C87F4F">
            <w:r w:rsidRPr="00811B28">
              <w:t>Next Review Date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</w:tcPr>
          <w:p w14:paraId="1FF4DC5F" w14:textId="77777777" w:rsidR="00E957AC" w:rsidRPr="00811B28" w:rsidRDefault="00E957AC" w:rsidP="004A6C34">
            <w:pPr>
              <w:rPr>
                <w:color w:val="2E74B5" w:themeColor="accent5" w:themeShade="BF"/>
                <w:sz w:val="18"/>
                <w:szCs w:val="18"/>
              </w:rPr>
            </w:pPr>
          </w:p>
        </w:tc>
      </w:tr>
    </w:tbl>
    <w:p w14:paraId="779AAE21" w14:textId="77777777" w:rsidR="00E957AC" w:rsidRDefault="00E957AC" w:rsidP="00E957AC"/>
    <w:p w14:paraId="04170F78" w14:textId="77777777" w:rsidR="00E957AC" w:rsidRDefault="00E957AC" w:rsidP="00E957AC"/>
    <w:p w14:paraId="7E65759E" w14:textId="06A1C22A" w:rsidR="00A26E22" w:rsidRPr="00C45548" w:rsidRDefault="00A26E22" w:rsidP="00C45548">
      <w:pPr>
        <w:spacing w:after="160" w:line="259" w:lineRule="auto"/>
        <w:rPr>
          <w:lang w:val="en-GB"/>
        </w:rPr>
      </w:pPr>
    </w:p>
    <w:sectPr w:rsidR="00A26E22" w:rsidRPr="00C45548" w:rsidSect="00F54D16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B592" w14:textId="77777777" w:rsidR="009348EE" w:rsidRDefault="009348EE" w:rsidP="008B382E">
      <w:pPr>
        <w:spacing w:line="240" w:lineRule="auto"/>
      </w:pPr>
      <w:r>
        <w:separator/>
      </w:r>
    </w:p>
  </w:endnote>
  <w:endnote w:type="continuationSeparator" w:id="0">
    <w:p w14:paraId="2E5E8F60" w14:textId="77777777" w:rsidR="009348EE" w:rsidRDefault="009348EE" w:rsidP="008B382E">
      <w:pPr>
        <w:spacing w:line="240" w:lineRule="auto"/>
      </w:pPr>
      <w:r>
        <w:continuationSeparator/>
      </w:r>
    </w:p>
  </w:endnote>
  <w:endnote w:type="continuationNotice" w:id="1">
    <w:p w14:paraId="65B848D1" w14:textId="77777777" w:rsidR="009348EE" w:rsidRDefault="009348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31E2" w14:textId="77777777" w:rsidR="009348EE" w:rsidRDefault="009348EE" w:rsidP="008B382E">
      <w:pPr>
        <w:spacing w:line="240" w:lineRule="auto"/>
      </w:pPr>
      <w:r>
        <w:separator/>
      </w:r>
    </w:p>
  </w:footnote>
  <w:footnote w:type="continuationSeparator" w:id="0">
    <w:p w14:paraId="39F8C30A" w14:textId="77777777" w:rsidR="009348EE" w:rsidRDefault="009348EE" w:rsidP="008B382E">
      <w:pPr>
        <w:spacing w:line="240" w:lineRule="auto"/>
      </w:pPr>
      <w:r>
        <w:continuationSeparator/>
      </w:r>
    </w:p>
  </w:footnote>
  <w:footnote w:type="continuationNotice" w:id="1">
    <w:p w14:paraId="3675216E" w14:textId="77777777" w:rsidR="009348EE" w:rsidRDefault="009348E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9D0"/>
    <w:multiLevelType w:val="hybridMultilevel"/>
    <w:tmpl w:val="CAC806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AC9"/>
    <w:multiLevelType w:val="hybridMultilevel"/>
    <w:tmpl w:val="B36263B6"/>
    <w:lvl w:ilvl="0" w:tplc="86D4EB2C">
      <w:start w:val="1"/>
      <w:numFmt w:val="bullet"/>
      <w:pStyle w:val="BulletPoints"/>
      <w:lvlText w:val=""/>
      <w:lvlJc w:val="left"/>
      <w:pPr>
        <w:ind w:left="360" w:hanging="360"/>
      </w:pPr>
      <w:rPr>
        <w:rFonts w:ascii="Symbol" w:hAnsi="Symbol" w:hint="default"/>
        <w:color w:val="EB9A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A4B"/>
    <w:multiLevelType w:val="hybridMultilevel"/>
    <w:tmpl w:val="4554175A"/>
    <w:lvl w:ilvl="0" w:tplc="8738D64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00D"/>
    <w:multiLevelType w:val="hybridMultilevel"/>
    <w:tmpl w:val="A5902F70"/>
    <w:lvl w:ilvl="0" w:tplc="D84C5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0C8E"/>
    <w:multiLevelType w:val="hybridMultilevel"/>
    <w:tmpl w:val="9080177E"/>
    <w:lvl w:ilvl="0" w:tplc="7A64DA4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6775"/>
    <w:multiLevelType w:val="multilevel"/>
    <w:tmpl w:val="6658C9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D7AD93"/>
        <w:sz w:val="52"/>
        <w:szCs w:val="52"/>
      </w:rPr>
    </w:lvl>
    <w:lvl w:ilvl="1">
      <w:start w:val="1"/>
      <w:numFmt w:val="decimal"/>
      <w:lvlText w:val="%1.%2"/>
      <w:lvlJc w:val="left"/>
      <w:pPr>
        <w:ind w:left="4114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226AB0"/>
    <w:multiLevelType w:val="hybridMultilevel"/>
    <w:tmpl w:val="5DC6FBD0"/>
    <w:lvl w:ilvl="0" w:tplc="60B8D5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3"/>
  </w:num>
  <w:num w:numId="18">
    <w:abstractNumId w:val="8"/>
  </w:num>
  <w:num w:numId="19">
    <w:abstractNumId w:val="10"/>
  </w:num>
  <w:num w:numId="20">
    <w:abstractNumId w:val="11"/>
  </w:num>
  <w:num w:numId="21">
    <w:abstractNumId w:val="7"/>
  </w:num>
  <w:num w:numId="22">
    <w:abstractNumId w:val="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4751E"/>
    <w:rsid w:val="0008054E"/>
    <w:rsid w:val="000829B5"/>
    <w:rsid w:val="000945EF"/>
    <w:rsid w:val="00167D62"/>
    <w:rsid w:val="00176931"/>
    <w:rsid w:val="00192C7D"/>
    <w:rsid w:val="001E4FFF"/>
    <w:rsid w:val="002774D1"/>
    <w:rsid w:val="0027754B"/>
    <w:rsid w:val="002D15A3"/>
    <w:rsid w:val="002E44F5"/>
    <w:rsid w:val="002E524D"/>
    <w:rsid w:val="003E765F"/>
    <w:rsid w:val="0046062E"/>
    <w:rsid w:val="004D6843"/>
    <w:rsid w:val="004F0DF2"/>
    <w:rsid w:val="00533D03"/>
    <w:rsid w:val="00565635"/>
    <w:rsid w:val="00570D46"/>
    <w:rsid w:val="00587E0B"/>
    <w:rsid w:val="005B074C"/>
    <w:rsid w:val="005B20A6"/>
    <w:rsid w:val="0060785E"/>
    <w:rsid w:val="00655CD0"/>
    <w:rsid w:val="00671495"/>
    <w:rsid w:val="006763A6"/>
    <w:rsid w:val="006A20ED"/>
    <w:rsid w:val="00715AC9"/>
    <w:rsid w:val="007604C8"/>
    <w:rsid w:val="007656EB"/>
    <w:rsid w:val="007719FB"/>
    <w:rsid w:val="00796857"/>
    <w:rsid w:val="007B2A87"/>
    <w:rsid w:val="007C1A8C"/>
    <w:rsid w:val="007E788A"/>
    <w:rsid w:val="00812E99"/>
    <w:rsid w:val="0082317F"/>
    <w:rsid w:val="00871F27"/>
    <w:rsid w:val="008B382E"/>
    <w:rsid w:val="008D7754"/>
    <w:rsid w:val="008E1212"/>
    <w:rsid w:val="00933D1B"/>
    <w:rsid w:val="009348EE"/>
    <w:rsid w:val="009A6CF4"/>
    <w:rsid w:val="00A26E22"/>
    <w:rsid w:val="00A3677F"/>
    <w:rsid w:val="00A513F9"/>
    <w:rsid w:val="00AA2AA4"/>
    <w:rsid w:val="00AE0F70"/>
    <w:rsid w:val="00B02065"/>
    <w:rsid w:val="00B712EC"/>
    <w:rsid w:val="00B74C34"/>
    <w:rsid w:val="00B921C0"/>
    <w:rsid w:val="00B9238B"/>
    <w:rsid w:val="00C0431C"/>
    <w:rsid w:val="00C22474"/>
    <w:rsid w:val="00C44F60"/>
    <w:rsid w:val="00C45548"/>
    <w:rsid w:val="00C704D1"/>
    <w:rsid w:val="00C7746F"/>
    <w:rsid w:val="00C87F4F"/>
    <w:rsid w:val="00CA649F"/>
    <w:rsid w:val="00CA7E89"/>
    <w:rsid w:val="00CB1F43"/>
    <w:rsid w:val="00CC0271"/>
    <w:rsid w:val="00D30286"/>
    <w:rsid w:val="00DD1449"/>
    <w:rsid w:val="00DD24C1"/>
    <w:rsid w:val="00DD7694"/>
    <w:rsid w:val="00DD7B16"/>
    <w:rsid w:val="00E034FC"/>
    <w:rsid w:val="00E83C96"/>
    <w:rsid w:val="00E94082"/>
    <w:rsid w:val="00E957AC"/>
    <w:rsid w:val="00F45C0F"/>
    <w:rsid w:val="00F54D16"/>
    <w:rsid w:val="00F56C61"/>
    <w:rsid w:val="00F84A21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12EC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D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957AC"/>
    <w:pPr>
      <w:spacing w:before="120" w:after="120" w:line="240" w:lineRule="auto"/>
      <w:ind w:left="573" w:hanging="573"/>
    </w:pPr>
    <w:rPr>
      <w:sz w:val="20"/>
    </w:rPr>
  </w:style>
  <w:style w:type="paragraph" w:customStyle="1" w:styleId="BulletPoints">
    <w:name w:val="Bullet Points"/>
    <w:basedOn w:val="Normal"/>
    <w:uiPriority w:val="1"/>
    <w:rsid w:val="00E957AC"/>
    <w:pPr>
      <w:numPr>
        <w:numId w:val="22"/>
      </w:numPr>
      <w:spacing w:after="75" w:line="280" w:lineRule="atLeas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74</cp:revision>
  <dcterms:created xsi:type="dcterms:W3CDTF">2021-07-20T21:48:00Z</dcterms:created>
  <dcterms:modified xsi:type="dcterms:W3CDTF">2021-09-27T05:05:00Z</dcterms:modified>
</cp:coreProperties>
</file>